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1" w:rsidRPr="0010795F" w:rsidRDefault="0010795F" w:rsidP="00097941">
      <w:pPr>
        <w:shd w:val="clear" w:color="auto" w:fill="FFFFFF"/>
        <w:spacing w:after="120" w:line="240" w:lineRule="auto"/>
        <w:outlineLvl w:val="3"/>
        <w:rPr>
          <w:rFonts w:ascii="Verdana" w:eastAsia="Times New Roman" w:hAnsi="Verdana" w:cs="Times New Roman"/>
          <w:b/>
          <w:bCs/>
          <w:color w:val="331F09"/>
          <w:sz w:val="26"/>
          <w:szCs w:val="26"/>
          <w:u w:val="single"/>
          <w:lang w:eastAsia="bg-BG"/>
        </w:rPr>
      </w:pPr>
      <w:bookmarkStart w:id="0" w:name="_GoBack"/>
      <w:bookmarkEnd w:id="0"/>
      <w:r w:rsidRPr="0010795F">
        <w:rPr>
          <w:rFonts w:ascii="Verdana" w:eastAsia="Times New Roman" w:hAnsi="Verdana" w:cs="Times New Roman"/>
          <w:b/>
          <w:bCs/>
          <w:color w:val="331F09"/>
          <w:sz w:val="26"/>
          <w:szCs w:val="26"/>
          <w:u w:val="single"/>
          <w:lang w:eastAsia="bg-BG"/>
        </w:rPr>
        <w:t>ЕФЕКТИВНА КОМУНИКАЦИЯ В ДИГИТАЛНАТА СРЕДА</w:t>
      </w:r>
    </w:p>
    <w:p w:rsidR="0010795F" w:rsidRPr="00097941" w:rsidRDefault="007C71D9" w:rsidP="00097941">
      <w:pPr>
        <w:shd w:val="clear" w:color="auto" w:fill="FFFFFF"/>
        <w:spacing w:after="120" w:line="240" w:lineRule="auto"/>
        <w:outlineLvl w:val="3"/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</w:pPr>
      <w:r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Съв</w:t>
      </w:r>
      <w:r w:rsidR="0010795F"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местна сле</w:t>
      </w:r>
      <w:r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ддипломна специализация на Факу</w:t>
      </w:r>
      <w:r w:rsidR="0010795F"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лтета по журналистика и масова комуникаци</w:t>
      </w:r>
      <w:r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я, Факултета по начална и преду</w:t>
      </w:r>
      <w:r w:rsidR="0010795F">
        <w:rPr>
          <w:rFonts w:ascii="Verdana" w:eastAsia="Times New Roman" w:hAnsi="Verdana" w:cs="Times New Roman"/>
          <w:b/>
          <w:bCs/>
          <w:color w:val="331F09"/>
          <w:sz w:val="26"/>
          <w:szCs w:val="26"/>
          <w:lang w:eastAsia="bg-BG"/>
        </w:rPr>
        <w:t>чилищна педагогика и Факултета по класически и нови филологии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Срок за записване: 14. 11. 2016 г.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Ръководител на курса: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проф. д-р Лилия Райчева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Обучението е насочено към всички, които желаят да прилагат ефективната комуникация в професионалната си практика - учители, преподаватели, психолози в училища и в детски центрове, управленски състав, журналисти и продуценти на образователни програми, медийни специалисти и др. То е подходящо както за хора с дългогодишна практика, така и за такива, които са в началото на своята кариера.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В рамките на програмата обучаващите ще получат възможност да се запознаят с теорията и практиката на ефективната междуличностна и интеркултурна комуникация, с начините за интерактивно представяне на информация и с принципите на управление на комуникационния процес, чрез използването на съвременните дигитални екранни медии. Обучението дава знания и умения за това как различните типове образователни дейности и методи могат да бъдат резултатно прилагани от обучителя, при това с активното желание и участие на обучаемите. В този смисъл предлаганата програма съдейства за изграждане на силни положителни нагласи относно преимуществата и ползата от интерактивната комуникация като ключов елемент от образователния процес.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Програмата е основана на прилагането най-новите дигитални и информационнни технологии и мултимедийни платформи за нуждите на обучение и комуникация. Заложените в нея практически упражнения по медийна и информационна грамотност помагат на участниците непрестанно да усъвършенстват и доразвиват съществуващите си умения за достъп, разбиране, създаване и критична оценка на различни видове медии и медийно съдържание.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Партньори в настоящата следдипломна квалификация са Факултетът по журналистика и масова комуникация, Факултетът по класически и нови филологии и Факултетът по начална и предучилищна педагогика на Софийския университет „Св. Кл. Охридски“.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br/>
      </w:r>
      <w:hyperlink r:id="rId6" w:tgtFrame="_self" w:history="1">
        <w:r w:rsidRPr="00097941">
          <w:rPr>
            <w:rFonts w:ascii="Verdana" w:eastAsia="Times New Roman" w:hAnsi="Verdana" w:cs="Times New Roman"/>
            <w:b/>
            <w:bCs/>
            <w:color w:val="0066B1"/>
            <w:sz w:val="18"/>
            <w:szCs w:val="18"/>
            <w:u w:val="single"/>
            <w:lang w:eastAsia="bg-BG"/>
          </w:rPr>
          <w:t>Програма на курса</w:t>
        </w:r>
      </w:hyperlink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Изисквания към участниците: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висше или средно образование, основна компютърна и езикова грамотност.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Продължителност: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96 часа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Свидетелство: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За следдипломна квалификация от СУ „Св. Климент Охридски”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Форма на изпити: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курсов проект и тест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Цена: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450 лв.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Минимален брой участници: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 10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eastAsia="bg-BG"/>
        </w:rPr>
        <w:t>Времетраене </w:t>
      </w: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- 4 месеца от старта на курса по 4 дни в месеца по 6 часа на ден</w:t>
      </w:r>
    </w:p>
    <w:p w:rsidR="00097941" w:rsidRPr="00097941" w:rsidRDefault="00097941" w:rsidP="00097941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</w:pPr>
      <w:r w:rsidRPr="00097941">
        <w:rPr>
          <w:rFonts w:ascii="Verdana" w:eastAsia="Times New Roman" w:hAnsi="Verdana" w:cs="Times New Roman"/>
          <w:color w:val="331F09"/>
          <w:sz w:val="18"/>
          <w:szCs w:val="18"/>
          <w:lang w:eastAsia="bg-BG"/>
        </w:rPr>
        <w:t>При набиране на минималния брой участници курсът започва най-рано на 21.11.2016 г.</w:t>
      </w:r>
    </w:p>
    <w:sectPr w:rsidR="00097941" w:rsidRPr="0009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67D"/>
    <w:multiLevelType w:val="multilevel"/>
    <w:tmpl w:val="B8C8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89"/>
    <w:rsid w:val="00097941"/>
    <w:rsid w:val="0010795F"/>
    <w:rsid w:val="00611C89"/>
    <w:rsid w:val="007C71D9"/>
    <w:rsid w:val="008D20E8"/>
    <w:rsid w:val="00B139F9"/>
    <w:rsid w:val="00C563A6"/>
    <w:rsid w:val="00D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7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097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794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09794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9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97941"/>
  </w:style>
  <w:style w:type="character" w:styleId="Hyperlink">
    <w:name w:val="Hyperlink"/>
    <w:basedOn w:val="DefaultParagraphFont"/>
    <w:uiPriority w:val="99"/>
    <w:semiHidden/>
    <w:unhideWhenUsed/>
    <w:rsid w:val="00097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7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097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794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09794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9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97941"/>
  </w:style>
  <w:style w:type="character" w:styleId="Hyperlink">
    <w:name w:val="Hyperlink"/>
    <w:basedOn w:val="DefaultParagraphFont"/>
    <w:uiPriority w:val="99"/>
    <w:semiHidden/>
    <w:unhideWhenUsed/>
    <w:rsid w:val="0009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content/download/164298/1163822/version/1/file/Ef_com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Goshko</cp:lastModifiedBy>
  <cp:revision>2</cp:revision>
  <dcterms:created xsi:type="dcterms:W3CDTF">2016-10-17T19:28:00Z</dcterms:created>
  <dcterms:modified xsi:type="dcterms:W3CDTF">2016-10-17T19:28:00Z</dcterms:modified>
</cp:coreProperties>
</file>